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45EB" w:rsidRPr="00E845EB" w:rsidRDefault="00E845EB" w:rsidP="00484EDD">
      <w:pPr>
        <w:jc w:val="both"/>
        <w:rPr>
          <w:szCs w:val="20"/>
        </w:rPr>
      </w:pPr>
      <w:r w:rsidRPr="00E845EB">
        <w:rPr>
          <w:b/>
          <w:szCs w:val="20"/>
        </w:rPr>
        <w:t xml:space="preserve">Relational aspect of </w:t>
      </w:r>
      <w:r w:rsidRPr="00E845EB">
        <w:rPr>
          <w:b/>
          <w:szCs w:val="20"/>
        </w:rPr>
        <w:t>“</w:t>
      </w:r>
      <w:r w:rsidRPr="00E845EB">
        <w:rPr>
          <w:b/>
          <w:szCs w:val="20"/>
        </w:rPr>
        <w:t>normative power Europe</w:t>
      </w:r>
      <w:r w:rsidRPr="00E845EB">
        <w:rPr>
          <w:b/>
          <w:szCs w:val="20"/>
        </w:rPr>
        <w:t>”</w:t>
      </w:r>
    </w:p>
    <w:p w:rsidR="002A7B3E" w:rsidRPr="00E845EB" w:rsidRDefault="002A7B3E" w:rsidP="00484EDD">
      <w:pPr>
        <w:jc w:val="both"/>
        <w:rPr>
          <w:sz w:val="20"/>
          <w:szCs w:val="20"/>
        </w:rPr>
      </w:pPr>
    </w:p>
    <w:p w:rsidR="002A7B3E" w:rsidRPr="00E845EB" w:rsidRDefault="00E845EB" w:rsidP="00484EDD">
      <w:pPr>
        <w:jc w:val="both"/>
        <w:rPr>
          <w:sz w:val="20"/>
          <w:szCs w:val="20"/>
          <w:u w:val="single"/>
        </w:rPr>
      </w:pPr>
      <w:r w:rsidRPr="00E845EB">
        <w:rPr>
          <w:sz w:val="20"/>
          <w:szCs w:val="20"/>
          <w:u w:val="single"/>
        </w:rPr>
        <w:t>Abstract</w:t>
      </w:r>
    </w:p>
    <w:p w:rsidR="00E845EB" w:rsidRDefault="00E845EB" w:rsidP="00484EDD">
      <w:pPr>
        <w:jc w:val="both"/>
        <w:rPr>
          <w:sz w:val="20"/>
          <w:szCs w:val="20"/>
        </w:rPr>
      </w:pPr>
    </w:p>
    <w:p w:rsidR="0097208C" w:rsidRPr="00E845EB" w:rsidRDefault="00DE01CF" w:rsidP="00484EDD">
      <w:pPr>
        <w:jc w:val="both"/>
        <w:rPr>
          <w:sz w:val="20"/>
          <w:szCs w:val="20"/>
        </w:rPr>
      </w:pPr>
      <w:r w:rsidRPr="00E845EB">
        <w:rPr>
          <w:sz w:val="20"/>
          <w:szCs w:val="20"/>
        </w:rPr>
        <w:t xml:space="preserve">In my </w:t>
      </w:r>
      <w:r w:rsidR="00FE3E23" w:rsidRPr="00E845EB">
        <w:rPr>
          <w:sz w:val="20"/>
          <w:szCs w:val="20"/>
        </w:rPr>
        <w:t>paper</w:t>
      </w:r>
      <w:r w:rsidRPr="00E845EB">
        <w:rPr>
          <w:sz w:val="20"/>
          <w:szCs w:val="20"/>
        </w:rPr>
        <w:t xml:space="preserve">, I focus on </w:t>
      </w:r>
      <w:r w:rsidR="005F7356" w:rsidRPr="00E845EB">
        <w:rPr>
          <w:sz w:val="20"/>
          <w:szCs w:val="20"/>
        </w:rPr>
        <w:t>contrasting</w:t>
      </w:r>
      <w:r w:rsidRPr="00E845EB">
        <w:rPr>
          <w:sz w:val="20"/>
          <w:szCs w:val="20"/>
        </w:rPr>
        <w:t xml:space="preserve"> </w:t>
      </w:r>
      <w:r w:rsidR="00FE3E23" w:rsidRPr="00E845EB">
        <w:rPr>
          <w:sz w:val="20"/>
          <w:szCs w:val="20"/>
        </w:rPr>
        <w:t xml:space="preserve">theoretical </w:t>
      </w:r>
      <w:r w:rsidRPr="00E845EB">
        <w:rPr>
          <w:sz w:val="20"/>
          <w:szCs w:val="20"/>
        </w:rPr>
        <w:t>ap</w:t>
      </w:r>
      <w:r w:rsidR="0097208C" w:rsidRPr="00E845EB">
        <w:rPr>
          <w:sz w:val="20"/>
          <w:szCs w:val="20"/>
        </w:rPr>
        <w:t>proaches to conceptualise</w:t>
      </w:r>
      <w:r w:rsidRPr="00E845EB">
        <w:rPr>
          <w:sz w:val="20"/>
          <w:szCs w:val="20"/>
        </w:rPr>
        <w:t xml:space="preserve"> the nature of the EU as an actor and its role in its </w:t>
      </w:r>
      <w:r w:rsidR="00FE3E23" w:rsidRPr="00E845EB">
        <w:rPr>
          <w:sz w:val="20"/>
          <w:szCs w:val="20"/>
        </w:rPr>
        <w:t>neighbourhood, with special attention to the Eastern Partnership countries. Proceeding both from positive theorizing of the EU (</w:t>
      </w:r>
      <w:r w:rsidR="0097208C" w:rsidRPr="00E845EB">
        <w:rPr>
          <w:sz w:val="20"/>
          <w:szCs w:val="20"/>
        </w:rPr>
        <w:t xml:space="preserve">based </w:t>
      </w:r>
      <w:r w:rsidR="00FE3E23" w:rsidRPr="00E845EB">
        <w:rPr>
          <w:sz w:val="20"/>
          <w:szCs w:val="20"/>
        </w:rPr>
        <w:t xml:space="preserve">mostly </w:t>
      </w:r>
      <w:r w:rsidR="0097208C" w:rsidRPr="00E845EB">
        <w:rPr>
          <w:sz w:val="20"/>
          <w:szCs w:val="20"/>
        </w:rPr>
        <w:t xml:space="preserve">on </w:t>
      </w:r>
      <w:r w:rsidR="00FE3E23" w:rsidRPr="00E845EB">
        <w:rPr>
          <w:sz w:val="20"/>
          <w:szCs w:val="20"/>
        </w:rPr>
        <w:t xml:space="preserve">Ian Manners´s concept of the normative power) and the critics </w:t>
      </w:r>
      <w:r w:rsidR="005F7356" w:rsidRPr="00E845EB">
        <w:rPr>
          <w:sz w:val="20"/>
          <w:szCs w:val="20"/>
        </w:rPr>
        <w:t xml:space="preserve">of </w:t>
      </w:r>
      <w:r w:rsidR="002A7B3E" w:rsidRPr="00E845EB">
        <w:rPr>
          <w:sz w:val="20"/>
          <w:szCs w:val="20"/>
        </w:rPr>
        <w:t xml:space="preserve">the EU´s </w:t>
      </w:r>
      <w:r w:rsidR="002A7B3E" w:rsidRPr="00E845EB">
        <w:rPr>
          <w:sz w:val="20"/>
          <w:szCs w:val="20"/>
        </w:rPr>
        <w:t>neo-colonial, hegemonic power practices</w:t>
      </w:r>
      <w:r w:rsidR="002A7B3E" w:rsidRPr="00E845EB">
        <w:rPr>
          <w:sz w:val="20"/>
          <w:szCs w:val="20"/>
        </w:rPr>
        <w:t xml:space="preserve"> and its </w:t>
      </w:r>
      <w:r w:rsidR="00E82000">
        <w:rPr>
          <w:sz w:val="20"/>
          <w:szCs w:val="20"/>
        </w:rPr>
        <w:t>(in)</w:t>
      </w:r>
      <w:r w:rsidR="005F7356" w:rsidRPr="00E845EB">
        <w:rPr>
          <w:sz w:val="20"/>
          <w:szCs w:val="20"/>
        </w:rPr>
        <w:t>ability to transform its neigh</w:t>
      </w:r>
      <w:r w:rsidR="002A7B3E" w:rsidRPr="00E845EB">
        <w:rPr>
          <w:sz w:val="20"/>
          <w:szCs w:val="20"/>
        </w:rPr>
        <w:t>bourhood</w:t>
      </w:r>
      <w:r w:rsidR="00FE3E23" w:rsidRPr="00E845EB">
        <w:rPr>
          <w:sz w:val="20"/>
          <w:szCs w:val="20"/>
        </w:rPr>
        <w:t xml:space="preserve">, I argue that these conceptions are </w:t>
      </w:r>
      <w:r w:rsidR="0097208C" w:rsidRPr="00E845EB">
        <w:rPr>
          <w:sz w:val="20"/>
          <w:szCs w:val="20"/>
        </w:rPr>
        <w:t xml:space="preserve">not able to explain sufficiently </w:t>
      </w:r>
      <w:r w:rsidR="005A1C14" w:rsidRPr="00E845EB">
        <w:rPr>
          <w:sz w:val="20"/>
          <w:szCs w:val="20"/>
        </w:rPr>
        <w:t>neither the role of the EU nor the transformation</w:t>
      </w:r>
      <w:r w:rsidR="002A7B3E" w:rsidRPr="00E845EB">
        <w:rPr>
          <w:sz w:val="20"/>
          <w:szCs w:val="20"/>
        </w:rPr>
        <w:t>s</w:t>
      </w:r>
      <w:r w:rsidR="005A1C14" w:rsidRPr="00E845EB">
        <w:rPr>
          <w:sz w:val="20"/>
          <w:szCs w:val="20"/>
        </w:rPr>
        <w:t xml:space="preserve"> in </w:t>
      </w:r>
      <w:r w:rsidR="0097208C" w:rsidRPr="00E845EB">
        <w:rPr>
          <w:sz w:val="20"/>
          <w:szCs w:val="20"/>
        </w:rPr>
        <w:t>the partner countries, as they miss</w:t>
      </w:r>
      <w:r w:rsidR="00FE3E23" w:rsidRPr="00E845EB">
        <w:rPr>
          <w:sz w:val="20"/>
          <w:szCs w:val="20"/>
        </w:rPr>
        <w:t xml:space="preserve"> the </w:t>
      </w:r>
      <w:r w:rsidR="00FE3E23" w:rsidRPr="00E845EB">
        <w:rPr>
          <w:i/>
          <w:sz w:val="20"/>
          <w:szCs w:val="20"/>
        </w:rPr>
        <w:t>relational</w:t>
      </w:r>
      <w:r w:rsidR="00FE3E23" w:rsidRPr="00E845EB">
        <w:rPr>
          <w:sz w:val="20"/>
          <w:szCs w:val="20"/>
        </w:rPr>
        <w:t xml:space="preserve"> aspect of the power</w:t>
      </w:r>
      <w:r w:rsidR="0097208C" w:rsidRPr="00E845EB">
        <w:rPr>
          <w:sz w:val="20"/>
          <w:szCs w:val="20"/>
        </w:rPr>
        <w:t>.</w:t>
      </w:r>
    </w:p>
    <w:p w:rsidR="00DE01CF" w:rsidRPr="00E845EB" w:rsidRDefault="005A1C14" w:rsidP="00484EDD">
      <w:pPr>
        <w:jc w:val="both"/>
        <w:rPr>
          <w:sz w:val="20"/>
          <w:szCs w:val="20"/>
        </w:rPr>
      </w:pPr>
      <w:r w:rsidRPr="00E845EB">
        <w:rPr>
          <w:sz w:val="20"/>
          <w:szCs w:val="20"/>
        </w:rPr>
        <w:t>I propose that the relational nature of power, which enables reflection of the perceptions of the EU in the partner countries causes the differentiated power dynamics in EU´s relation to the six Eastern Partnership countries</w:t>
      </w:r>
      <w:r w:rsidR="00E96C93" w:rsidRPr="00E845EB">
        <w:rPr>
          <w:sz w:val="20"/>
          <w:szCs w:val="20"/>
        </w:rPr>
        <w:t xml:space="preserve"> and offers more precise tool for analysis of the dynamics of the Eastern Partnership policy.</w:t>
      </w:r>
    </w:p>
    <w:p w:rsidR="002A7B3E" w:rsidRPr="00E845EB" w:rsidRDefault="002A7B3E" w:rsidP="00484EDD">
      <w:pPr>
        <w:jc w:val="both"/>
        <w:rPr>
          <w:sz w:val="20"/>
          <w:szCs w:val="20"/>
        </w:rPr>
      </w:pPr>
    </w:p>
    <w:p w:rsidR="002A7B3E" w:rsidRPr="00E845EB" w:rsidRDefault="002A7B3E" w:rsidP="00484EDD">
      <w:pPr>
        <w:jc w:val="both"/>
        <w:rPr>
          <w:sz w:val="20"/>
          <w:szCs w:val="20"/>
        </w:rPr>
      </w:pPr>
    </w:p>
    <w:p w:rsidR="002A7B3E" w:rsidRPr="00E845EB" w:rsidRDefault="00E845EB" w:rsidP="00484EDD">
      <w:pPr>
        <w:jc w:val="both"/>
        <w:rPr>
          <w:sz w:val="20"/>
          <w:szCs w:val="20"/>
          <w:u w:val="single"/>
        </w:rPr>
      </w:pPr>
      <w:r w:rsidRPr="00E845EB">
        <w:rPr>
          <w:sz w:val="20"/>
          <w:szCs w:val="20"/>
          <w:u w:val="single"/>
        </w:rPr>
        <w:t>Extended abstract</w:t>
      </w:r>
    </w:p>
    <w:p w:rsidR="00E845EB" w:rsidRDefault="00E845EB" w:rsidP="00484EDD">
      <w:pPr>
        <w:jc w:val="both"/>
        <w:rPr>
          <w:sz w:val="20"/>
          <w:szCs w:val="20"/>
        </w:rPr>
      </w:pPr>
    </w:p>
    <w:p w:rsidR="002A7B3E" w:rsidRPr="00E845EB" w:rsidRDefault="002A7B3E" w:rsidP="00484EDD">
      <w:pPr>
        <w:jc w:val="both"/>
        <w:rPr>
          <w:sz w:val="20"/>
          <w:szCs w:val="20"/>
        </w:rPr>
      </w:pPr>
      <w:r w:rsidRPr="00E845EB">
        <w:rPr>
          <w:sz w:val="20"/>
          <w:szCs w:val="20"/>
        </w:rPr>
        <w:t xml:space="preserve">This paper will consist </w:t>
      </w:r>
      <w:r w:rsidR="00333C97" w:rsidRPr="00E845EB">
        <w:rPr>
          <w:sz w:val="20"/>
          <w:szCs w:val="20"/>
        </w:rPr>
        <w:t xml:space="preserve">mostly </w:t>
      </w:r>
      <w:r w:rsidRPr="00E845EB">
        <w:rPr>
          <w:sz w:val="20"/>
          <w:szCs w:val="20"/>
        </w:rPr>
        <w:t xml:space="preserve">of the theoretical part of my PhD </w:t>
      </w:r>
      <w:r w:rsidR="00AD3DF5" w:rsidRPr="00E845EB">
        <w:rPr>
          <w:sz w:val="20"/>
          <w:szCs w:val="20"/>
        </w:rPr>
        <w:t xml:space="preserve">thesis, where based on thorough review and analysis of different theoretical approaches I identify the main research problem, the research question and the hypothesis. Subsequently, the paper will </w:t>
      </w:r>
      <w:r w:rsidR="00AD3DF5" w:rsidRPr="00E845EB">
        <w:rPr>
          <w:sz w:val="20"/>
          <w:szCs w:val="20"/>
        </w:rPr>
        <w:t xml:space="preserve">discuss various possible methodological approaches </w:t>
      </w:r>
      <w:r w:rsidR="00AD3DF5" w:rsidRPr="00E845EB">
        <w:rPr>
          <w:sz w:val="20"/>
          <w:szCs w:val="20"/>
        </w:rPr>
        <w:t xml:space="preserve">and techniques </w:t>
      </w:r>
      <w:r w:rsidR="00AD3DF5" w:rsidRPr="00E845EB">
        <w:rPr>
          <w:sz w:val="20"/>
          <w:szCs w:val="20"/>
        </w:rPr>
        <w:t>how to answer the research quest</w:t>
      </w:r>
      <w:r w:rsidR="00AD3DF5" w:rsidRPr="00E845EB">
        <w:rPr>
          <w:sz w:val="20"/>
          <w:szCs w:val="20"/>
        </w:rPr>
        <w:t>ion in the most appropriate way.</w:t>
      </w:r>
    </w:p>
    <w:p w:rsidR="00AD3DF5" w:rsidRPr="00E845EB" w:rsidRDefault="00AD3DF5" w:rsidP="00484EDD">
      <w:pPr>
        <w:jc w:val="both"/>
        <w:rPr>
          <w:sz w:val="20"/>
          <w:szCs w:val="20"/>
        </w:rPr>
      </w:pPr>
    </w:p>
    <w:p w:rsidR="002A7B3E" w:rsidRPr="00E845EB" w:rsidRDefault="002A7B3E" w:rsidP="00484EDD">
      <w:pPr>
        <w:jc w:val="both"/>
        <w:rPr>
          <w:sz w:val="20"/>
          <w:szCs w:val="20"/>
        </w:rPr>
      </w:pPr>
      <w:r w:rsidRPr="00E845EB">
        <w:rPr>
          <w:sz w:val="20"/>
          <w:szCs w:val="20"/>
        </w:rPr>
        <w:t xml:space="preserve">In my PhD thesis, I </w:t>
      </w:r>
      <w:r w:rsidR="00AE72CA" w:rsidRPr="00E845EB">
        <w:rPr>
          <w:sz w:val="20"/>
          <w:szCs w:val="20"/>
        </w:rPr>
        <w:t>research the normative power and potential of</w:t>
      </w:r>
      <w:r w:rsidR="00AD3DF5" w:rsidRPr="00E845EB">
        <w:rPr>
          <w:sz w:val="20"/>
          <w:szCs w:val="20"/>
        </w:rPr>
        <w:t xml:space="preserve"> the EU </w:t>
      </w:r>
      <w:r w:rsidR="00AE72CA" w:rsidRPr="00E845EB">
        <w:rPr>
          <w:sz w:val="20"/>
          <w:szCs w:val="20"/>
        </w:rPr>
        <w:t>in</w:t>
      </w:r>
      <w:r w:rsidR="00AD3DF5" w:rsidRPr="00E845EB">
        <w:rPr>
          <w:sz w:val="20"/>
          <w:szCs w:val="20"/>
        </w:rPr>
        <w:t xml:space="preserve"> the </w:t>
      </w:r>
      <w:r w:rsidR="00AE72CA" w:rsidRPr="00E845EB">
        <w:rPr>
          <w:sz w:val="20"/>
          <w:szCs w:val="20"/>
        </w:rPr>
        <w:t xml:space="preserve">countries of the </w:t>
      </w:r>
      <w:r w:rsidR="00AD3DF5" w:rsidRPr="00E845EB">
        <w:rPr>
          <w:sz w:val="20"/>
          <w:szCs w:val="20"/>
        </w:rPr>
        <w:t>Easte</w:t>
      </w:r>
      <w:r w:rsidR="00AE72CA" w:rsidRPr="00E845EB">
        <w:rPr>
          <w:sz w:val="20"/>
          <w:szCs w:val="20"/>
        </w:rPr>
        <w:t xml:space="preserve">rn Partnership and how its efficiency and success is determined by the reflection and acceptation of the EU and its norms in these countries. </w:t>
      </w:r>
    </w:p>
    <w:p w:rsidR="002A7B3E" w:rsidRPr="00E845EB" w:rsidRDefault="002A7B3E" w:rsidP="00484EDD">
      <w:pPr>
        <w:jc w:val="both"/>
        <w:rPr>
          <w:sz w:val="20"/>
          <w:szCs w:val="20"/>
        </w:rPr>
      </w:pPr>
    </w:p>
    <w:p w:rsidR="00E845EB" w:rsidRPr="00E845EB" w:rsidRDefault="00E845EB" w:rsidP="00484EDD">
      <w:pPr>
        <w:jc w:val="both"/>
        <w:rPr>
          <w:b/>
          <w:sz w:val="20"/>
          <w:szCs w:val="20"/>
        </w:rPr>
      </w:pPr>
      <w:r w:rsidRPr="00E845EB">
        <w:rPr>
          <w:b/>
          <w:sz w:val="20"/>
          <w:szCs w:val="20"/>
        </w:rPr>
        <w:t>The research problem, theoretical ba</w:t>
      </w:r>
      <w:r w:rsidR="00484EDD">
        <w:rPr>
          <w:b/>
          <w:sz w:val="20"/>
          <w:szCs w:val="20"/>
        </w:rPr>
        <w:t>ckground and research questions</w:t>
      </w:r>
    </w:p>
    <w:p w:rsidR="00E845EB" w:rsidRPr="00E845EB" w:rsidRDefault="00E845EB" w:rsidP="00484EDD">
      <w:pPr>
        <w:jc w:val="both"/>
        <w:rPr>
          <w:sz w:val="20"/>
          <w:szCs w:val="20"/>
        </w:rPr>
      </w:pPr>
    </w:p>
    <w:p w:rsidR="00AD3DF5" w:rsidRPr="00E845EB" w:rsidRDefault="000C1E1D" w:rsidP="00484EDD">
      <w:pPr>
        <w:jc w:val="both"/>
        <w:rPr>
          <w:sz w:val="20"/>
          <w:szCs w:val="20"/>
        </w:rPr>
      </w:pPr>
      <w:r w:rsidRPr="00E845EB">
        <w:rPr>
          <w:sz w:val="20"/>
          <w:szCs w:val="20"/>
        </w:rPr>
        <w:t>EU’s</w:t>
      </w:r>
      <w:r w:rsidR="00AD3DF5" w:rsidRPr="00E845EB">
        <w:rPr>
          <w:sz w:val="20"/>
          <w:szCs w:val="20"/>
        </w:rPr>
        <w:t xml:space="preserve"> engagement in the Eastern Neighbourhood has been one of the most ambitious politics of its EU´s external governance after the enlargements in 2004 and 2007. Although not offering a membership perspective, it offers the countries </w:t>
      </w:r>
      <w:r w:rsidR="00571E8A" w:rsidRPr="00E845EB">
        <w:rPr>
          <w:sz w:val="20"/>
          <w:szCs w:val="20"/>
        </w:rPr>
        <w:t>free trade agreements</w:t>
      </w:r>
      <w:r w:rsidR="00AD3DF5" w:rsidRPr="00E845EB">
        <w:rPr>
          <w:sz w:val="20"/>
          <w:szCs w:val="20"/>
        </w:rPr>
        <w:t xml:space="preserve"> and visa free regime if they comply </w:t>
      </w:r>
      <w:r w:rsidR="00571E8A" w:rsidRPr="00E845EB">
        <w:rPr>
          <w:sz w:val="20"/>
          <w:szCs w:val="20"/>
        </w:rPr>
        <w:t>with</w:t>
      </w:r>
      <w:r w:rsidR="00AD3DF5" w:rsidRPr="00E845EB">
        <w:rPr>
          <w:sz w:val="20"/>
          <w:szCs w:val="20"/>
        </w:rPr>
        <w:t xml:space="preserve"> the extensive amount of the </w:t>
      </w:r>
      <w:r w:rsidR="00AD3DF5" w:rsidRPr="00E845EB">
        <w:rPr>
          <w:i/>
          <w:sz w:val="20"/>
          <w:szCs w:val="20"/>
        </w:rPr>
        <w:t>aquis communautaire</w:t>
      </w:r>
      <w:r w:rsidR="00AD3DF5" w:rsidRPr="00E845EB">
        <w:rPr>
          <w:sz w:val="20"/>
          <w:szCs w:val="20"/>
        </w:rPr>
        <w:t xml:space="preserve"> requiring serious reforms in the domestic politics.</w:t>
      </w:r>
    </w:p>
    <w:p w:rsidR="00333C97" w:rsidRPr="00E845EB" w:rsidRDefault="00333C97" w:rsidP="00484EDD">
      <w:pPr>
        <w:jc w:val="both"/>
        <w:rPr>
          <w:sz w:val="20"/>
          <w:szCs w:val="20"/>
        </w:rPr>
      </w:pPr>
    </w:p>
    <w:p w:rsidR="00AD3DF5" w:rsidRPr="00E845EB" w:rsidRDefault="00AD3DF5" w:rsidP="00484EDD">
      <w:pPr>
        <w:jc w:val="both"/>
        <w:rPr>
          <w:sz w:val="20"/>
          <w:szCs w:val="20"/>
        </w:rPr>
      </w:pPr>
      <w:r w:rsidRPr="00E845EB">
        <w:rPr>
          <w:sz w:val="20"/>
          <w:szCs w:val="20"/>
        </w:rPr>
        <w:t xml:space="preserve">However, the </w:t>
      </w:r>
      <w:r w:rsidR="008270BB" w:rsidRPr="00E845EB">
        <w:rPr>
          <w:sz w:val="20"/>
          <w:szCs w:val="20"/>
        </w:rPr>
        <w:t>partner countries</w:t>
      </w:r>
      <w:r w:rsidRPr="00E845EB">
        <w:rPr>
          <w:sz w:val="20"/>
          <w:szCs w:val="20"/>
        </w:rPr>
        <w:t xml:space="preserve"> have responded very differently to EU’s offer –some limit their cooperation to economic </w:t>
      </w:r>
      <w:r w:rsidRPr="00E845EB">
        <w:rPr>
          <w:sz w:val="20"/>
          <w:szCs w:val="20"/>
        </w:rPr>
        <w:t>cooperation</w:t>
      </w:r>
      <w:r w:rsidR="008270BB" w:rsidRPr="00E845EB">
        <w:rPr>
          <w:sz w:val="20"/>
          <w:szCs w:val="20"/>
        </w:rPr>
        <w:t xml:space="preserve">, </w:t>
      </w:r>
      <w:r w:rsidR="008270BB" w:rsidRPr="00E845EB">
        <w:rPr>
          <w:sz w:val="20"/>
          <w:szCs w:val="20"/>
        </w:rPr>
        <w:t>some of them</w:t>
      </w:r>
      <w:r w:rsidR="008270BB" w:rsidRPr="00E845EB">
        <w:rPr>
          <w:sz w:val="20"/>
          <w:szCs w:val="20"/>
        </w:rPr>
        <w:t xml:space="preserve"> aspire to more than is offered</w:t>
      </w:r>
      <w:r w:rsidRPr="00E845EB">
        <w:rPr>
          <w:sz w:val="20"/>
          <w:szCs w:val="20"/>
        </w:rPr>
        <w:t xml:space="preserve">. Projecting EU’s norms, values and policies of democratic governance, which are proclaimed to be the sources of the EU’s attractiveness have thus not been successful everywhere. </w:t>
      </w:r>
      <w:r w:rsidRPr="00E845EB">
        <w:rPr>
          <w:sz w:val="20"/>
          <w:szCs w:val="20"/>
        </w:rPr>
        <w:t xml:space="preserve">The theories of the “normative power Europe” </w:t>
      </w:r>
      <w:r w:rsidR="000C1E1D" w:rsidRPr="00E845EB">
        <w:rPr>
          <w:sz w:val="20"/>
          <w:szCs w:val="20"/>
        </w:rPr>
        <w:t xml:space="preserve">(Ian Manners 2002) </w:t>
      </w:r>
      <w:r w:rsidRPr="00E845EB">
        <w:rPr>
          <w:sz w:val="20"/>
          <w:szCs w:val="20"/>
        </w:rPr>
        <w:t xml:space="preserve">and </w:t>
      </w:r>
      <w:r w:rsidR="00333C97" w:rsidRPr="00E845EB">
        <w:rPr>
          <w:rFonts w:ascii="AdvTimes" w:hAnsi="AdvTimes" w:cs="AdvTimes"/>
          <w:sz w:val="20"/>
          <w:szCs w:val="20"/>
        </w:rPr>
        <w:t xml:space="preserve">external governance approach </w:t>
      </w:r>
      <w:r w:rsidR="000C1E1D" w:rsidRPr="00E845EB">
        <w:rPr>
          <w:rFonts w:ascii="AdvTimes" w:hAnsi="AdvTimes" w:cs="AdvTimes"/>
          <w:sz w:val="20"/>
          <w:szCs w:val="20"/>
        </w:rPr>
        <w:t>(</w:t>
      </w:r>
      <w:r w:rsidR="000C1E1D" w:rsidRPr="00E845EB">
        <w:rPr>
          <w:rFonts w:ascii="AdvTimes" w:hAnsi="AdvTimes" w:cs="AdvTimes"/>
          <w:sz w:val="20"/>
          <w:szCs w:val="20"/>
        </w:rPr>
        <w:t xml:space="preserve">Lavenex </w:t>
      </w:r>
      <w:r w:rsidR="000C1E1D" w:rsidRPr="00E845EB">
        <w:rPr>
          <w:rFonts w:ascii="AdvTimes" w:hAnsi="AdvTimes" w:cs="AdvTimes"/>
          <w:sz w:val="20"/>
          <w:szCs w:val="20"/>
        </w:rPr>
        <w:t xml:space="preserve">and Schimmelfennig 2009) </w:t>
      </w:r>
      <w:r w:rsidR="00333C97" w:rsidRPr="00E845EB">
        <w:rPr>
          <w:sz w:val="20"/>
          <w:szCs w:val="20"/>
        </w:rPr>
        <w:t xml:space="preserve">have failed </w:t>
      </w:r>
      <w:r w:rsidR="00333C97" w:rsidRPr="00E845EB">
        <w:rPr>
          <w:rFonts w:ascii="AdvTimes" w:hAnsi="AdvTimes" w:cs="AdvTimes"/>
          <w:sz w:val="20"/>
          <w:szCs w:val="20"/>
        </w:rPr>
        <w:t>to identify reasons for the varied (and often negative) resp</w:t>
      </w:r>
      <w:r w:rsidR="00333C97" w:rsidRPr="00E845EB">
        <w:rPr>
          <w:rFonts w:ascii="AdvTimes" w:hAnsi="AdvTimes" w:cs="AdvTimes"/>
          <w:sz w:val="20"/>
          <w:szCs w:val="20"/>
        </w:rPr>
        <w:t xml:space="preserve">onse of neighbours to the ENP </w:t>
      </w:r>
      <w:r w:rsidR="00333C97" w:rsidRPr="00E845EB">
        <w:rPr>
          <w:sz w:val="20"/>
          <w:szCs w:val="20"/>
        </w:rPr>
        <w:t>(Korosteleva</w:t>
      </w:r>
      <w:r w:rsidR="00333C97" w:rsidRPr="00E845EB">
        <w:rPr>
          <w:sz w:val="20"/>
          <w:szCs w:val="20"/>
        </w:rPr>
        <w:t xml:space="preserve"> 2010)</w:t>
      </w:r>
      <w:r w:rsidR="00333C97" w:rsidRPr="00E845EB">
        <w:rPr>
          <w:sz w:val="20"/>
          <w:szCs w:val="20"/>
        </w:rPr>
        <w:t xml:space="preserve">. </w:t>
      </w:r>
      <w:r w:rsidRPr="00E845EB">
        <w:rPr>
          <w:sz w:val="20"/>
          <w:szCs w:val="20"/>
        </w:rPr>
        <w:t xml:space="preserve">This opens the floor for </w:t>
      </w:r>
      <w:r w:rsidR="000C1E1D" w:rsidRPr="00E845EB">
        <w:rPr>
          <w:sz w:val="20"/>
          <w:szCs w:val="20"/>
        </w:rPr>
        <w:t xml:space="preserve">a different approach in </w:t>
      </w:r>
      <w:r w:rsidRPr="00E845EB">
        <w:rPr>
          <w:sz w:val="20"/>
          <w:szCs w:val="20"/>
        </w:rPr>
        <w:t xml:space="preserve">the analysis of Europe´s </w:t>
      </w:r>
      <w:r w:rsidR="008270BB" w:rsidRPr="00E845EB">
        <w:rPr>
          <w:sz w:val="20"/>
          <w:szCs w:val="20"/>
        </w:rPr>
        <w:t>normative</w:t>
      </w:r>
      <w:r w:rsidRPr="00E845EB">
        <w:rPr>
          <w:sz w:val="20"/>
          <w:szCs w:val="20"/>
        </w:rPr>
        <w:t xml:space="preserve"> </w:t>
      </w:r>
      <w:r w:rsidR="00333C97" w:rsidRPr="00E845EB">
        <w:rPr>
          <w:sz w:val="20"/>
          <w:szCs w:val="20"/>
        </w:rPr>
        <w:t>potential</w:t>
      </w:r>
      <w:r w:rsidRPr="00E845EB">
        <w:rPr>
          <w:sz w:val="20"/>
          <w:szCs w:val="20"/>
        </w:rPr>
        <w:t xml:space="preserve"> beyond its borders.</w:t>
      </w:r>
    </w:p>
    <w:p w:rsidR="00333C97" w:rsidRPr="00E845EB" w:rsidRDefault="00333C97" w:rsidP="00484EDD">
      <w:pPr>
        <w:jc w:val="both"/>
        <w:rPr>
          <w:sz w:val="20"/>
          <w:szCs w:val="20"/>
        </w:rPr>
      </w:pPr>
    </w:p>
    <w:p w:rsidR="00571E8A" w:rsidRPr="00E845EB" w:rsidRDefault="008270BB" w:rsidP="00484EDD">
      <w:pPr>
        <w:jc w:val="both"/>
        <w:rPr>
          <w:sz w:val="20"/>
          <w:szCs w:val="20"/>
        </w:rPr>
      </w:pPr>
      <w:r w:rsidRPr="00E845EB">
        <w:rPr>
          <w:sz w:val="20"/>
          <w:szCs w:val="20"/>
        </w:rPr>
        <w:t>In my research</w:t>
      </w:r>
      <w:r w:rsidR="00333C97" w:rsidRPr="00E845EB">
        <w:rPr>
          <w:sz w:val="20"/>
          <w:szCs w:val="20"/>
        </w:rPr>
        <w:t xml:space="preserve">, </w:t>
      </w:r>
      <w:r w:rsidRPr="00E845EB">
        <w:rPr>
          <w:sz w:val="20"/>
          <w:szCs w:val="20"/>
        </w:rPr>
        <w:t xml:space="preserve">I argue </w:t>
      </w:r>
      <w:r w:rsidR="00333C97" w:rsidRPr="00E845EB">
        <w:rPr>
          <w:sz w:val="20"/>
          <w:szCs w:val="20"/>
        </w:rPr>
        <w:t xml:space="preserve">that theoretical approaches that focus </w:t>
      </w:r>
      <w:r w:rsidRPr="00E845EB">
        <w:rPr>
          <w:sz w:val="20"/>
          <w:szCs w:val="20"/>
        </w:rPr>
        <w:t xml:space="preserve">either </w:t>
      </w:r>
      <w:r w:rsidR="00333C97" w:rsidRPr="00E845EB">
        <w:rPr>
          <w:sz w:val="20"/>
          <w:szCs w:val="20"/>
        </w:rPr>
        <w:t>on norms (EU as civilian, normative, transformative, soft power, force for good) or on power (EU as regional normative hegemon, reluctant empire, soft imperialist, neo-colonial actors) miss crucially importan</w:t>
      </w:r>
      <w:r w:rsidR="00E161CB" w:rsidRPr="00E845EB">
        <w:rPr>
          <w:sz w:val="20"/>
          <w:szCs w:val="20"/>
        </w:rPr>
        <w:t>t aspect of power a</w:t>
      </w:r>
      <w:r w:rsidRPr="00E845EB">
        <w:rPr>
          <w:sz w:val="20"/>
          <w:szCs w:val="20"/>
        </w:rPr>
        <w:t>s such - the fact that</w:t>
      </w:r>
      <w:r w:rsidR="00E161CB" w:rsidRPr="00E845EB">
        <w:rPr>
          <w:sz w:val="20"/>
          <w:szCs w:val="20"/>
        </w:rPr>
        <w:t xml:space="preserve"> power is neither substantive, nor possessive, but relational. (</w:t>
      </w:r>
      <w:r w:rsidR="00E161CB" w:rsidRPr="00E845EB">
        <w:rPr>
          <w:sz w:val="20"/>
          <w:szCs w:val="20"/>
        </w:rPr>
        <w:t>Bachrach &amp; Baratz, 1963)</w:t>
      </w:r>
      <w:r w:rsidR="00E161CB" w:rsidRPr="00E845EB">
        <w:rPr>
          <w:sz w:val="20"/>
          <w:szCs w:val="20"/>
        </w:rPr>
        <w:t xml:space="preserve"> This means that </w:t>
      </w:r>
      <w:r w:rsidR="00E161CB" w:rsidRPr="00E845EB">
        <w:rPr>
          <w:sz w:val="20"/>
          <w:szCs w:val="20"/>
        </w:rPr>
        <w:t>th</w:t>
      </w:r>
      <w:r w:rsidRPr="00E845EB">
        <w:rPr>
          <w:sz w:val="20"/>
          <w:szCs w:val="20"/>
        </w:rPr>
        <w:t xml:space="preserve">e power can exist as </w:t>
      </w:r>
      <w:r w:rsidRPr="00E845EB">
        <w:rPr>
          <w:sz w:val="20"/>
          <w:szCs w:val="20"/>
        </w:rPr>
        <w:t xml:space="preserve">only in relation to someone else </w:t>
      </w:r>
      <w:r w:rsidRPr="00E845EB">
        <w:rPr>
          <w:sz w:val="20"/>
          <w:szCs w:val="20"/>
        </w:rPr>
        <w:t>and cannot be possessed but</w:t>
      </w:r>
      <w:r w:rsidR="00E161CB" w:rsidRPr="00E845EB">
        <w:rPr>
          <w:sz w:val="20"/>
          <w:szCs w:val="20"/>
        </w:rPr>
        <w:t xml:space="preserve"> it is relational and dependent upon perception of the </w:t>
      </w:r>
      <w:r w:rsidR="00E161CB" w:rsidRPr="00E845EB">
        <w:rPr>
          <w:sz w:val="20"/>
          <w:szCs w:val="20"/>
        </w:rPr>
        <w:t>recipient</w:t>
      </w:r>
      <w:r w:rsidR="000C1E1D" w:rsidRPr="00E845EB">
        <w:rPr>
          <w:sz w:val="20"/>
          <w:szCs w:val="20"/>
        </w:rPr>
        <w:t>.</w:t>
      </w:r>
      <w:r w:rsidRPr="00E845EB">
        <w:rPr>
          <w:sz w:val="20"/>
          <w:szCs w:val="20"/>
        </w:rPr>
        <w:t xml:space="preserve"> </w:t>
      </w:r>
      <w:r w:rsidR="00E161CB" w:rsidRPr="00E845EB">
        <w:rPr>
          <w:sz w:val="20"/>
          <w:szCs w:val="20"/>
        </w:rPr>
        <w:t>(</w:t>
      </w:r>
      <w:r w:rsidR="00E161CB" w:rsidRPr="00E845EB">
        <w:rPr>
          <w:i/>
          <w:sz w:val="20"/>
          <w:szCs w:val="20"/>
        </w:rPr>
        <w:t>Ibid</w:t>
      </w:r>
      <w:r w:rsidR="00E161CB" w:rsidRPr="00E845EB">
        <w:rPr>
          <w:sz w:val="20"/>
          <w:szCs w:val="20"/>
        </w:rPr>
        <w:t xml:space="preserve">.) </w:t>
      </w:r>
      <w:r w:rsidR="00450427" w:rsidRPr="00E845EB">
        <w:rPr>
          <w:sz w:val="20"/>
          <w:szCs w:val="20"/>
        </w:rPr>
        <w:t xml:space="preserve"> </w:t>
      </w:r>
    </w:p>
    <w:p w:rsidR="00571E8A" w:rsidRPr="00E845EB" w:rsidRDefault="00571E8A" w:rsidP="00484EDD">
      <w:pPr>
        <w:jc w:val="both"/>
        <w:rPr>
          <w:sz w:val="20"/>
          <w:szCs w:val="20"/>
        </w:rPr>
      </w:pPr>
    </w:p>
    <w:p w:rsidR="00450427" w:rsidRPr="00E845EB" w:rsidRDefault="008270BB" w:rsidP="00484EDD">
      <w:pPr>
        <w:jc w:val="both"/>
        <w:rPr>
          <w:sz w:val="20"/>
          <w:szCs w:val="20"/>
        </w:rPr>
      </w:pPr>
      <w:r w:rsidRPr="00E845EB">
        <w:rPr>
          <w:sz w:val="20"/>
          <w:szCs w:val="20"/>
        </w:rPr>
        <w:t xml:space="preserve">This approach clarifies more appropriately </w:t>
      </w:r>
      <w:r w:rsidR="00571E8A" w:rsidRPr="00E845EB">
        <w:rPr>
          <w:sz w:val="20"/>
          <w:szCs w:val="20"/>
        </w:rPr>
        <w:t>the reality of the</w:t>
      </w:r>
      <w:r w:rsidR="00E161CB" w:rsidRPr="00E845EB">
        <w:rPr>
          <w:sz w:val="20"/>
          <w:szCs w:val="20"/>
        </w:rPr>
        <w:t xml:space="preserve"> different power dynamics of the EU </w:t>
      </w:r>
      <w:r w:rsidR="00571E8A" w:rsidRPr="00E845EB">
        <w:rPr>
          <w:sz w:val="20"/>
          <w:szCs w:val="20"/>
        </w:rPr>
        <w:t xml:space="preserve">towards </w:t>
      </w:r>
      <w:r w:rsidR="00E161CB" w:rsidRPr="00E845EB">
        <w:rPr>
          <w:sz w:val="20"/>
          <w:szCs w:val="20"/>
        </w:rPr>
        <w:t xml:space="preserve">the countries of the Eastern Partnership and </w:t>
      </w:r>
      <w:r w:rsidRPr="00E845EB">
        <w:rPr>
          <w:sz w:val="20"/>
          <w:szCs w:val="20"/>
        </w:rPr>
        <w:t xml:space="preserve">in consequence, </w:t>
      </w:r>
      <w:r w:rsidR="00E161CB" w:rsidRPr="00E845EB">
        <w:rPr>
          <w:sz w:val="20"/>
          <w:szCs w:val="20"/>
        </w:rPr>
        <w:t>their response to EU´s offer</w:t>
      </w:r>
      <w:r w:rsidRPr="00E845EB">
        <w:rPr>
          <w:sz w:val="20"/>
          <w:szCs w:val="20"/>
        </w:rPr>
        <w:t>, too</w:t>
      </w:r>
      <w:r w:rsidR="00E161CB" w:rsidRPr="00E845EB">
        <w:rPr>
          <w:sz w:val="20"/>
          <w:szCs w:val="20"/>
        </w:rPr>
        <w:t>.</w:t>
      </w:r>
      <w:r w:rsidR="00571E8A" w:rsidRPr="00E845EB">
        <w:rPr>
          <w:sz w:val="20"/>
          <w:szCs w:val="20"/>
        </w:rPr>
        <w:t xml:space="preserve"> Currently intensifying process of differentiation in EU´s approach </w:t>
      </w:r>
      <w:r w:rsidR="000C1E1D" w:rsidRPr="00E845EB">
        <w:rPr>
          <w:sz w:val="20"/>
          <w:szCs w:val="20"/>
        </w:rPr>
        <w:t>vis à</w:t>
      </w:r>
      <w:r w:rsidR="00571E8A" w:rsidRPr="00E845EB">
        <w:rPr>
          <w:sz w:val="20"/>
          <w:szCs w:val="20"/>
        </w:rPr>
        <w:t xml:space="preserve"> vis</w:t>
      </w:r>
      <w:r w:rsidR="00571E8A" w:rsidRPr="00E845EB">
        <w:rPr>
          <w:sz w:val="20"/>
          <w:szCs w:val="20"/>
        </w:rPr>
        <w:t xml:space="preserve"> partner countries also </w:t>
      </w:r>
      <w:r w:rsidRPr="00E845EB">
        <w:rPr>
          <w:sz w:val="20"/>
          <w:szCs w:val="20"/>
        </w:rPr>
        <w:t>demonstrates that the EU´ s normative potential and engagement differs according to expectations and needs of the partner countries.</w:t>
      </w:r>
      <w:r w:rsidR="00571E8A" w:rsidRPr="00E845EB">
        <w:rPr>
          <w:sz w:val="20"/>
          <w:szCs w:val="20"/>
        </w:rPr>
        <w:t xml:space="preserve"> </w:t>
      </w:r>
      <w:r w:rsidR="00E161CB" w:rsidRPr="00E845EB">
        <w:rPr>
          <w:sz w:val="20"/>
          <w:szCs w:val="20"/>
        </w:rPr>
        <w:t xml:space="preserve"> </w:t>
      </w:r>
    </w:p>
    <w:p w:rsidR="00450427" w:rsidRPr="00E845EB" w:rsidRDefault="00450427" w:rsidP="00484EDD">
      <w:pPr>
        <w:jc w:val="both"/>
        <w:rPr>
          <w:sz w:val="20"/>
          <w:szCs w:val="20"/>
        </w:rPr>
      </w:pPr>
    </w:p>
    <w:p w:rsidR="008270BB" w:rsidRPr="00E845EB" w:rsidRDefault="00E161CB" w:rsidP="00484EDD">
      <w:pPr>
        <w:jc w:val="both"/>
        <w:rPr>
          <w:sz w:val="20"/>
          <w:szCs w:val="20"/>
        </w:rPr>
      </w:pPr>
      <w:r w:rsidRPr="00E845EB">
        <w:rPr>
          <w:sz w:val="20"/>
          <w:szCs w:val="20"/>
        </w:rPr>
        <w:t>Based on these theoretical re-conceptualisation of the</w:t>
      </w:r>
      <w:r w:rsidR="00450427" w:rsidRPr="00E845EB">
        <w:rPr>
          <w:sz w:val="20"/>
          <w:szCs w:val="20"/>
        </w:rPr>
        <w:t xml:space="preserve"> relational aspect of normative power Europe, my research question</w:t>
      </w:r>
      <w:r w:rsidR="000C1E1D" w:rsidRPr="00E845EB">
        <w:rPr>
          <w:sz w:val="20"/>
          <w:szCs w:val="20"/>
        </w:rPr>
        <w:t xml:space="preserve"> is as follows</w:t>
      </w:r>
      <w:r w:rsidR="00450427" w:rsidRPr="00E845EB">
        <w:rPr>
          <w:sz w:val="20"/>
          <w:szCs w:val="20"/>
        </w:rPr>
        <w:t xml:space="preserve">: </w:t>
      </w:r>
      <w:r w:rsidR="000C1E1D" w:rsidRPr="00E845EB">
        <w:rPr>
          <w:b/>
          <w:sz w:val="20"/>
          <w:szCs w:val="20"/>
        </w:rPr>
        <w:t>What are the effects of the perception of the EU by the partner countries on their</w:t>
      </w:r>
      <w:r w:rsidR="00450427" w:rsidRPr="00E845EB">
        <w:rPr>
          <w:b/>
          <w:sz w:val="20"/>
          <w:szCs w:val="20"/>
        </w:rPr>
        <w:t xml:space="preserve"> </w:t>
      </w:r>
      <w:r w:rsidR="000C1E1D" w:rsidRPr="00E845EB">
        <w:rPr>
          <w:b/>
          <w:sz w:val="20"/>
          <w:szCs w:val="20"/>
        </w:rPr>
        <w:t>mutual relations and on the level of acceptance of the EU´s norms?</w:t>
      </w:r>
    </w:p>
    <w:p w:rsidR="00450427" w:rsidRPr="00E845EB" w:rsidRDefault="00450427" w:rsidP="00484EDD">
      <w:pPr>
        <w:jc w:val="both"/>
        <w:rPr>
          <w:sz w:val="20"/>
          <w:szCs w:val="20"/>
        </w:rPr>
      </w:pPr>
    </w:p>
    <w:p w:rsidR="00571E8A" w:rsidRPr="00E845EB" w:rsidRDefault="00450427" w:rsidP="00484EDD">
      <w:pPr>
        <w:jc w:val="both"/>
        <w:rPr>
          <w:sz w:val="20"/>
          <w:szCs w:val="20"/>
        </w:rPr>
      </w:pPr>
      <w:r w:rsidRPr="00E845EB">
        <w:rPr>
          <w:sz w:val="20"/>
          <w:szCs w:val="20"/>
        </w:rPr>
        <w:t xml:space="preserve">My ambition is to answer the question by creating the model of indicators, which will measure the perception and level of adaptation of these countries to EU norms (sources of data I will use are </w:t>
      </w:r>
      <w:r w:rsidR="00E845EB" w:rsidRPr="00E845EB">
        <w:rPr>
          <w:sz w:val="20"/>
          <w:szCs w:val="20"/>
        </w:rPr>
        <w:t xml:space="preserve">mostly </w:t>
      </w:r>
      <w:r w:rsidRPr="00E845EB">
        <w:rPr>
          <w:sz w:val="20"/>
          <w:szCs w:val="20"/>
        </w:rPr>
        <w:t xml:space="preserve">European Neighbourhood </w:t>
      </w:r>
      <w:r w:rsidRPr="00E845EB">
        <w:rPr>
          <w:sz w:val="20"/>
          <w:szCs w:val="20"/>
        </w:rPr>
        <w:lastRenderedPageBreak/>
        <w:t>Barometer for opinion polls about the EU, EaP index and EC Annual Reports to cover the progress of the countries in priority areas and intensity of mutual relationship (</w:t>
      </w:r>
      <w:r w:rsidR="00571E8A" w:rsidRPr="00E845EB">
        <w:rPr>
          <w:sz w:val="20"/>
          <w:szCs w:val="20"/>
        </w:rPr>
        <w:t>accepting EU standards, frequency of meetings, etc.)</w:t>
      </w:r>
      <w:r w:rsidR="00484EDD">
        <w:rPr>
          <w:sz w:val="20"/>
          <w:szCs w:val="20"/>
        </w:rPr>
        <w:t>.</w:t>
      </w:r>
    </w:p>
    <w:p w:rsidR="00571E8A" w:rsidRPr="00E845EB" w:rsidRDefault="00571E8A" w:rsidP="00484EDD">
      <w:pPr>
        <w:jc w:val="both"/>
        <w:rPr>
          <w:sz w:val="20"/>
          <w:szCs w:val="20"/>
        </w:rPr>
      </w:pPr>
    </w:p>
    <w:p w:rsidR="00E845EB" w:rsidRPr="00E845EB" w:rsidRDefault="00571E8A" w:rsidP="00484EDD">
      <w:pPr>
        <w:jc w:val="both"/>
        <w:rPr>
          <w:sz w:val="20"/>
          <w:szCs w:val="20"/>
        </w:rPr>
      </w:pPr>
      <w:r w:rsidRPr="00E845EB">
        <w:rPr>
          <w:sz w:val="20"/>
          <w:szCs w:val="20"/>
        </w:rPr>
        <w:t xml:space="preserve">My </w:t>
      </w:r>
      <w:r w:rsidR="00E845EB" w:rsidRPr="00E845EB">
        <w:rPr>
          <w:sz w:val="20"/>
          <w:szCs w:val="20"/>
        </w:rPr>
        <w:t xml:space="preserve">preliminary </w:t>
      </w:r>
      <w:r w:rsidRPr="00E845EB">
        <w:rPr>
          <w:sz w:val="20"/>
          <w:szCs w:val="20"/>
        </w:rPr>
        <w:t xml:space="preserve">hypothesis will be: </w:t>
      </w:r>
      <w:r w:rsidRPr="00E845EB">
        <w:rPr>
          <w:b/>
          <w:sz w:val="20"/>
          <w:szCs w:val="20"/>
        </w:rPr>
        <w:t xml:space="preserve">The </w:t>
      </w:r>
      <w:r w:rsidR="00E845EB" w:rsidRPr="00E845EB">
        <w:rPr>
          <w:b/>
          <w:sz w:val="20"/>
          <w:szCs w:val="20"/>
        </w:rPr>
        <w:t xml:space="preserve">perception of the EU in partner countries determines the acceptance of normative authority of the EU and level of cooperation between the two and result in differentiated relationship to every particular country.  </w:t>
      </w:r>
    </w:p>
    <w:p w:rsidR="005A2D69" w:rsidRDefault="005A2D69" w:rsidP="00484EDD">
      <w:pPr>
        <w:jc w:val="both"/>
        <w:rPr>
          <w:sz w:val="20"/>
          <w:szCs w:val="20"/>
        </w:rPr>
      </w:pPr>
    </w:p>
    <w:p w:rsidR="002A7B3E" w:rsidRPr="00E845EB" w:rsidRDefault="00484EDD" w:rsidP="00E82000">
      <w:pPr>
        <w:jc w:val="both"/>
        <w:rPr>
          <w:sz w:val="20"/>
          <w:szCs w:val="20"/>
        </w:rPr>
      </w:pPr>
      <w:r w:rsidRPr="00E845EB">
        <w:rPr>
          <w:sz w:val="20"/>
          <w:szCs w:val="20"/>
        </w:rPr>
        <w:t xml:space="preserve">From six partner countries, I have selected three </w:t>
      </w:r>
      <w:r>
        <w:rPr>
          <w:sz w:val="20"/>
          <w:szCs w:val="20"/>
        </w:rPr>
        <w:t xml:space="preserve">of them </w:t>
      </w:r>
      <w:r w:rsidRPr="00E845EB">
        <w:rPr>
          <w:sz w:val="20"/>
          <w:szCs w:val="20"/>
        </w:rPr>
        <w:t>for comparative case study – currently the most ambitious Ukraine, very pragmatic Azerbaijan and country of limited interest in cooperation with the EU –</w:t>
      </w:r>
      <w:r>
        <w:rPr>
          <w:sz w:val="20"/>
          <w:szCs w:val="20"/>
        </w:rPr>
        <w:t xml:space="preserve"> Belarus</w:t>
      </w:r>
      <w:r w:rsidRPr="00E845EB">
        <w:rPr>
          <w:sz w:val="20"/>
          <w:szCs w:val="20"/>
        </w:rPr>
        <w:t>.</w:t>
      </w:r>
      <w:r>
        <w:rPr>
          <w:sz w:val="20"/>
          <w:szCs w:val="20"/>
        </w:rPr>
        <w:t xml:space="preserve"> </w:t>
      </w:r>
      <w:r w:rsidR="00E82000">
        <w:rPr>
          <w:sz w:val="20"/>
          <w:szCs w:val="20"/>
        </w:rPr>
        <w:t xml:space="preserve">I believe that the variety of their relations with the EU will ensure the increased relevance of the selected approach. </w:t>
      </w:r>
      <w:bookmarkStart w:id="0" w:name="_GoBack"/>
      <w:bookmarkEnd w:id="0"/>
    </w:p>
    <w:sectPr w:rsidR="002A7B3E" w:rsidRPr="00E845E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5E1A" w:rsidRDefault="00905E1A" w:rsidP="00AD3DF5">
      <w:r>
        <w:separator/>
      </w:r>
    </w:p>
  </w:endnote>
  <w:endnote w:type="continuationSeparator" w:id="0">
    <w:p w:rsidR="00905E1A" w:rsidRDefault="00905E1A" w:rsidP="00AD3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dvTimes">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5E1A" w:rsidRDefault="00905E1A" w:rsidP="00AD3DF5">
      <w:r>
        <w:separator/>
      </w:r>
    </w:p>
  </w:footnote>
  <w:footnote w:type="continuationSeparator" w:id="0">
    <w:p w:rsidR="00905E1A" w:rsidRDefault="00905E1A" w:rsidP="00AD3D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52317"/>
    <w:multiLevelType w:val="hybridMultilevel"/>
    <w:tmpl w:val="E99A47F8"/>
    <w:lvl w:ilvl="0" w:tplc="6ED2CF96">
      <w:start w:val="1"/>
      <w:numFmt w:val="bullet"/>
      <w:lvlText w:val="•"/>
      <w:lvlJc w:val="left"/>
      <w:pPr>
        <w:tabs>
          <w:tab w:val="num" w:pos="720"/>
        </w:tabs>
        <w:ind w:left="720" w:hanging="360"/>
      </w:pPr>
      <w:rPr>
        <w:rFonts w:ascii="Arial" w:hAnsi="Arial" w:hint="default"/>
      </w:rPr>
    </w:lvl>
    <w:lvl w:ilvl="1" w:tplc="64241AC2" w:tentative="1">
      <w:start w:val="1"/>
      <w:numFmt w:val="bullet"/>
      <w:lvlText w:val="•"/>
      <w:lvlJc w:val="left"/>
      <w:pPr>
        <w:tabs>
          <w:tab w:val="num" w:pos="1440"/>
        </w:tabs>
        <w:ind w:left="1440" w:hanging="360"/>
      </w:pPr>
      <w:rPr>
        <w:rFonts w:ascii="Arial" w:hAnsi="Arial" w:hint="default"/>
      </w:rPr>
    </w:lvl>
    <w:lvl w:ilvl="2" w:tplc="C2ACE61C" w:tentative="1">
      <w:start w:val="1"/>
      <w:numFmt w:val="bullet"/>
      <w:lvlText w:val="•"/>
      <w:lvlJc w:val="left"/>
      <w:pPr>
        <w:tabs>
          <w:tab w:val="num" w:pos="2160"/>
        </w:tabs>
        <w:ind w:left="2160" w:hanging="360"/>
      </w:pPr>
      <w:rPr>
        <w:rFonts w:ascii="Arial" w:hAnsi="Arial" w:hint="default"/>
      </w:rPr>
    </w:lvl>
    <w:lvl w:ilvl="3" w:tplc="7A70BE9C" w:tentative="1">
      <w:start w:val="1"/>
      <w:numFmt w:val="bullet"/>
      <w:lvlText w:val="•"/>
      <w:lvlJc w:val="left"/>
      <w:pPr>
        <w:tabs>
          <w:tab w:val="num" w:pos="2880"/>
        </w:tabs>
        <w:ind w:left="2880" w:hanging="360"/>
      </w:pPr>
      <w:rPr>
        <w:rFonts w:ascii="Arial" w:hAnsi="Arial" w:hint="default"/>
      </w:rPr>
    </w:lvl>
    <w:lvl w:ilvl="4" w:tplc="E7F0937A" w:tentative="1">
      <w:start w:val="1"/>
      <w:numFmt w:val="bullet"/>
      <w:lvlText w:val="•"/>
      <w:lvlJc w:val="left"/>
      <w:pPr>
        <w:tabs>
          <w:tab w:val="num" w:pos="3600"/>
        </w:tabs>
        <w:ind w:left="3600" w:hanging="360"/>
      </w:pPr>
      <w:rPr>
        <w:rFonts w:ascii="Arial" w:hAnsi="Arial" w:hint="default"/>
      </w:rPr>
    </w:lvl>
    <w:lvl w:ilvl="5" w:tplc="187E071E" w:tentative="1">
      <w:start w:val="1"/>
      <w:numFmt w:val="bullet"/>
      <w:lvlText w:val="•"/>
      <w:lvlJc w:val="left"/>
      <w:pPr>
        <w:tabs>
          <w:tab w:val="num" w:pos="4320"/>
        </w:tabs>
        <w:ind w:left="4320" w:hanging="360"/>
      </w:pPr>
      <w:rPr>
        <w:rFonts w:ascii="Arial" w:hAnsi="Arial" w:hint="default"/>
      </w:rPr>
    </w:lvl>
    <w:lvl w:ilvl="6" w:tplc="7C82EC68" w:tentative="1">
      <w:start w:val="1"/>
      <w:numFmt w:val="bullet"/>
      <w:lvlText w:val="•"/>
      <w:lvlJc w:val="left"/>
      <w:pPr>
        <w:tabs>
          <w:tab w:val="num" w:pos="5040"/>
        </w:tabs>
        <w:ind w:left="5040" w:hanging="360"/>
      </w:pPr>
      <w:rPr>
        <w:rFonts w:ascii="Arial" w:hAnsi="Arial" w:hint="default"/>
      </w:rPr>
    </w:lvl>
    <w:lvl w:ilvl="7" w:tplc="0BD66732" w:tentative="1">
      <w:start w:val="1"/>
      <w:numFmt w:val="bullet"/>
      <w:lvlText w:val="•"/>
      <w:lvlJc w:val="left"/>
      <w:pPr>
        <w:tabs>
          <w:tab w:val="num" w:pos="5760"/>
        </w:tabs>
        <w:ind w:left="5760" w:hanging="360"/>
      </w:pPr>
      <w:rPr>
        <w:rFonts w:ascii="Arial" w:hAnsi="Arial" w:hint="default"/>
      </w:rPr>
    </w:lvl>
    <w:lvl w:ilvl="8" w:tplc="4B56809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1DF1A2A"/>
    <w:multiLevelType w:val="hybridMultilevel"/>
    <w:tmpl w:val="D9E85760"/>
    <w:lvl w:ilvl="0" w:tplc="5412AF06">
      <w:start w:val="1"/>
      <w:numFmt w:val="bullet"/>
      <w:lvlText w:val="•"/>
      <w:lvlJc w:val="left"/>
      <w:pPr>
        <w:tabs>
          <w:tab w:val="num" w:pos="720"/>
        </w:tabs>
        <w:ind w:left="720" w:hanging="360"/>
      </w:pPr>
      <w:rPr>
        <w:rFonts w:ascii="Arial" w:hAnsi="Arial" w:hint="default"/>
      </w:rPr>
    </w:lvl>
    <w:lvl w:ilvl="1" w:tplc="0DB2DB90" w:tentative="1">
      <w:start w:val="1"/>
      <w:numFmt w:val="bullet"/>
      <w:lvlText w:val="•"/>
      <w:lvlJc w:val="left"/>
      <w:pPr>
        <w:tabs>
          <w:tab w:val="num" w:pos="1440"/>
        </w:tabs>
        <w:ind w:left="1440" w:hanging="360"/>
      </w:pPr>
      <w:rPr>
        <w:rFonts w:ascii="Arial" w:hAnsi="Arial" w:hint="default"/>
      </w:rPr>
    </w:lvl>
    <w:lvl w:ilvl="2" w:tplc="E1865086" w:tentative="1">
      <w:start w:val="1"/>
      <w:numFmt w:val="bullet"/>
      <w:lvlText w:val="•"/>
      <w:lvlJc w:val="left"/>
      <w:pPr>
        <w:tabs>
          <w:tab w:val="num" w:pos="2160"/>
        </w:tabs>
        <w:ind w:left="2160" w:hanging="360"/>
      </w:pPr>
      <w:rPr>
        <w:rFonts w:ascii="Arial" w:hAnsi="Arial" w:hint="default"/>
      </w:rPr>
    </w:lvl>
    <w:lvl w:ilvl="3" w:tplc="8F6E0014" w:tentative="1">
      <w:start w:val="1"/>
      <w:numFmt w:val="bullet"/>
      <w:lvlText w:val="•"/>
      <w:lvlJc w:val="left"/>
      <w:pPr>
        <w:tabs>
          <w:tab w:val="num" w:pos="2880"/>
        </w:tabs>
        <w:ind w:left="2880" w:hanging="360"/>
      </w:pPr>
      <w:rPr>
        <w:rFonts w:ascii="Arial" w:hAnsi="Arial" w:hint="default"/>
      </w:rPr>
    </w:lvl>
    <w:lvl w:ilvl="4" w:tplc="3BBCE482" w:tentative="1">
      <w:start w:val="1"/>
      <w:numFmt w:val="bullet"/>
      <w:lvlText w:val="•"/>
      <w:lvlJc w:val="left"/>
      <w:pPr>
        <w:tabs>
          <w:tab w:val="num" w:pos="3600"/>
        </w:tabs>
        <w:ind w:left="3600" w:hanging="360"/>
      </w:pPr>
      <w:rPr>
        <w:rFonts w:ascii="Arial" w:hAnsi="Arial" w:hint="default"/>
      </w:rPr>
    </w:lvl>
    <w:lvl w:ilvl="5" w:tplc="E4F888F8" w:tentative="1">
      <w:start w:val="1"/>
      <w:numFmt w:val="bullet"/>
      <w:lvlText w:val="•"/>
      <w:lvlJc w:val="left"/>
      <w:pPr>
        <w:tabs>
          <w:tab w:val="num" w:pos="4320"/>
        </w:tabs>
        <w:ind w:left="4320" w:hanging="360"/>
      </w:pPr>
      <w:rPr>
        <w:rFonts w:ascii="Arial" w:hAnsi="Arial" w:hint="default"/>
      </w:rPr>
    </w:lvl>
    <w:lvl w:ilvl="6" w:tplc="07360C26" w:tentative="1">
      <w:start w:val="1"/>
      <w:numFmt w:val="bullet"/>
      <w:lvlText w:val="•"/>
      <w:lvlJc w:val="left"/>
      <w:pPr>
        <w:tabs>
          <w:tab w:val="num" w:pos="5040"/>
        </w:tabs>
        <w:ind w:left="5040" w:hanging="360"/>
      </w:pPr>
      <w:rPr>
        <w:rFonts w:ascii="Arial" w:hAnsi="Arial" w:hint="default"/>
      </w:rPr>
    </w:lvl>
    <w:lvl w:ilvl="7" w:tplc="5D0ADA6C" w:tentative="1">
      <w:start w:val="1"/>
      <w:numFmt w:val="bullet"/>
      <w:lvlText w:val="•"/>
      <w:lvlJc w:val="left"/>
      <w:pPr>
        <w:tabs>
          <w:tab w:val="num" w:pos="5760"/>
        </w:tabs>
        <w:ind w:left="5760" w:hanging="360"/>
      </w:pPr>
      <w:rPr>
        <w:rFonts w:ascii="Arial" w:hAnsi="Arial" w:hint="default"/>
      </w:rPr>
    </w:lvl>
    <w:lvl w:ilvl="8" w:tplc="0C324FC8"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49E"/>
    <w:rsid w:val="000C1E1D"/>
    <w:rsid w:val="002A7B3E"/>
    <w:rsid w:val="00333C97"/>
    <w:rsid w:val="00450427"/>
    <w:rsid w:val="00484EDD"/>
    <w:rsid w:val="00571E8A"/>
    <w:rsid w:val="005A1C14"/>
    <w:rsid w:val="005A2D69"/>
    <w:rsid w:val="005F7356"/>
    <w:rsid w:val="006A149E"/>
    <w:rsid w:val="008270BB"/>
    <w:rsid w:val="00905E1A"/>
    <w:rsid w:val="0097208C"/>
    <w:rsid w:val="00AD3DF5"/>
    <w:rsid w:val="00AE72CA"/>
    <w:rsid w:val="00D605CC"/>
    <w:rsid w:val="00DE01CF"/>
    <w:rsid w:val="00E161CB"/>
    <w:rsid w:val="00E82000"/>
    <w:rsid w:val="00E845EB"/>
    <w:rsid w:val="00E96C93"/>
    <w:rsid w:val="00FE3E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CBE524-880E-4745-8A64-B99156928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49E"/>
    <w:pPr>
      <w:spacing w:after="0" w:line="240" w:lineRule="auto"/>
    </w:pPr>
    <w:rPr>
      <w:rFonts w:ascii="Times New Roman" w:eastAsia="Times New Roman" w:hAnsi="Times New Roman" w:cs="Times New Roman"/>
      <w:sz w:val="24"/>
      <w:szCs w:val="24"/>
      <w:lang w:eastAsia="cs-CZ"/>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6A149E"/>
    <w:rPr>
      <w:b/>
    </w:rPr>
  </w:style>
  <w:style w:type="character" w:customStyle="1" w:styleId="BodyTextChar">
    <w:name w:val="Body Text Char"/>
    <w:basedOn w:val="DefaultParagraphFont"/>
    <w:link w:val="BodyText"/>
    <w:semiHidden/>
    <w:rsid w:val="006A149E"/>
    <w:rPr>
      <w:rFonts w:ascii="Times New Roman" w:eastAsia="Times New Roman" w:hAnsi="Times New Roman" w:cs="Times New Roman"/>
      <w:b/>
      <w:sz w:val="24"/>
      <w:szCs w:val="24"/>
      <w:lang w:eastAsia="cs-CZ"/>
    </w:rPr>
  </w:style>
  <w:style w:type="character" w:styleId="FootnoteReference">
    <w:name w:val="footnote reference"/>
    <w:basedOn w:val="DefaultParagraphFont"/>
    <w:uiPriority w:val="99"/>
    <w:semiHidden/>
    <w:unhideWhenUsed/>
    <w:rsid w:val="00AD3DF5"/>
    <w:rPr>
      <w:vertAlign w:val="superscript"/>
    </w:rPr>
  </w:style>
  <w:style w:type="paragraph" w:styleId="ListParagraph">
    <w:name w:val="List Paragraph"/>
    <w:basedOn w:val="Normal"/>
    <w:uiPriority w:val="34"/>
    <w:qFormat/>
    <w:rsid w:val="00333C97"/>
    <w:pPr>
      <w:ind w:left="720"/>
      <w:contextualSpacing/>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074372">
      <w:bodyDiv w:val="1"/>
      <w:marLeft w:val="0"/>
      <w:marRight w:val="0"/>
      <w:marTop w:val="0"/>
      <w:marBottom w:val="0"/>
      <w:divBdr>
        <w:top w:val="none" w:sz="0" w:space="0" w:color="auto"/>
        <w:left w:val="none" w:sz="0" w:space="0" w:color="auto"/>
        <w:bottom w:val="none" w:sz="0" w:space="0" w:color="auto"/>
        <w:right w:val="none" w:sz="0" w:space="0" w:color="auto"/>
      </w:divBdr>
      <w:divsChild>
        <w:div w:id="335495633">
          <w:marLeft w:val="547"/>
          <w:marRight w:val="0"/>
          <w:marTop w:val="106"/>
          <w:marBottom w:val="0"/>
          <w:divBdr>
            <w:top w:val="none" w:sz="0" w:space="0" w:color="auto"/>
            <w:left w:val="none" w:sz="0" w:space="0" w:color="auto"/>
            <w:bottom w:val="none" w:sz="0" w:space="0" w:color="auto"/>
            <w:right w:val="none" w:sz="0" w:space="0" w:color="auto"/>
          </w:divBdr>
        </w:div>
      </w:divsChild>
    </w:div>
    <w:div w:id="500631517">
      <w:bodyDiv w:val="1"/>
      <w:marLeft w:val="0"/>
      <w:marRight w:val="0"/>
      <w:marTop w:val="0"/>
      <w:marBottom w:val="0"/>
      <w:divBdr>
        <w:top w:val="none" w:sz="0" w:space="0" w:color="auto"/>
        <w:left w:val="none" w:sz="0" w:space="0" w:color="auto"/>
        <w:bottom w:val="none" w:sz="0" w:space="0" w:color="auto"/>
        <w:right w:val="none" w:sz="0" w:space="0" w:color="auto"/>
      </w:divBdr>
      <w:divsChild>
        <w:div w:id="1924140954">
          <w:marLeft w:val="547"/>
          <w:marRight w:val="0"/>
          <w:marTop w:val="106"/>
          <w:marBottom w:val="0"/>
          <w:divBdr>
            <w:top w:val="none" w:sz="0" w:space="0" w:color="auto"/>
            <w:left w:val="none" w:sz="0" w:space="0" w:color="auto"/>
            <w:bottom w:val="none" w:sz="0" w:space="0" w:color="auto"/>
            <w:right w:val="none" w:sz="0" w:space="0" w:color="auto"/>
          </w:divBdr>
        </w:div>
        <w:div w:id="1974095698">
          <w:marLeft w:val="547"/>
          <w:marRight w:val="0"/>
          <w:marTop w:val="106"/>
          <w:marBottom w:val="0"/>
          <w:divBdr>
            <w:top w:val="none" w:sz="0" w:space="0" w:color="auto"/>
            <w:left w:val="none" w:sz="0" w:space="0" w:color="auto"/>
            <w:bottom w:val="none" w:sz="0" w:space="0" w:color="auto"/>
            <w:right w:val="none" w:sz="0" w:space="0" w:color="auto"/>
          </w:divBdr>
        </w:div>
      </w:divsChild>
    </w:div>
    <w:div w:id="749079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257</TotalTime>
  <Pages>2</Pages>
  <Words>778</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dc:creator>
  <cp:keywords/>
  <dc:description/>
  <cp:lastModifiedBy>marta</cp:lastModifiedBy>
  <cp:revision>4</cp:revision>
  <dcterms:created xsi:type="dcterms:W3CDTF">2015-06-09T11:17:00Z</dcterms:created>
  <dcterms:modified xsi:type="dcterms:W3CDTF">2015-06-10T13:08:00Z</dcterms:modified>
</cp:coreProperties>
</file>